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4529C" w14:textId="42B92211" w:rsidR="00D413A4" w:rsidRPr="0052548E" w:rsidRDefault="00D413A4" w:rsidP="00D413A4">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F26CD0">
        <w:rPr>
          <w:rFonts w:ascii="Arial" w:hAnsi="Arial" w:cs="Arial"/>
          <w:b/>
          <w:bCs/>
          <w:sz w:val="28"/>
        </w:rPr>
        <w:t>R1-19</w:t>
      </w:r>
      <w:r w:rsidR="00F26CD0" w:rsidRPr="00F26CD0">
        <w:rPr>
          <w:rFonts w:ascii="Arial" w:hAnsi="Arial" w:cs="Arial"/>
          <w:b/>
          <w:bCs/>
          <w:sz w:val="28"/>
        </w:rPr>
        <w:t>05017</w:t>
      </w:r>
    </w:p>
    <w:p w14:paraId="4091E591" w14:textId="77777777" w:rsidR="00D413A4" w:rsidRPr="009513AC" w:rsidRDefault="00D413A4" w:rsidP="00D413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D50C5F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A67D7E">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D6C0CE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54F91">
        <w:rPr>
          <w:rFonts w:ascii="Arial" w:hAnsi="Arial"/>
          <w:sz w:val="22"/>
        </w:rPr>
        <w:t>Delay-Tolerant Retransmission Mechanisms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3500DB">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3500DB">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3500DB">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3500DB">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3500DB">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3BA830AB" w:rsidR="004C3FD9" w:rsidRDefault="007C586D" w:rsidP="008659F2">
      <w:pPr>
        <w:widowControl w:val="0"/>
        <w:jc w:val="both"/>
      </w:pPr>
      <w:r>
        <w:t>In this contribution, we discuss</w:t>
      </w:r>
      <w:r w:rsidR="00704423">
        <w:t xml:space="preserve"> </w:t>
      </w:r>
      <w:r w:rsidR="00F54F91">
        <w:t xml:space="preserve">retransmission </w:t>
      </w:r>
      <w:r w:rsidR="00074172">
        <w:t xml:space="preserve">mechanisms for NTN. </w:t>
      </w:r>
    </w:p>
    <w:p w14:paraId="60F5A8E1" w14:textId="39BC8EE9" w:rsidR="00974AB0" w:rsidRDefault="00546144" w:rsidP="00601DDB">
      <w:pPr>
        <w:pStyle w:val="Heading1"/>
        <w:pBdr>
          <w:top w:val="single" w:sz="12" w:space="31" w:color="auto"/>
        </w:pBdr>
        <w:jc w:val="both"/>
      </w:pPr>
      <w:bookmarkStart w:id="2" w:name="_Ref473802466"/>
      <w:bookmarkStart w:id="3" w:name="_Ref462669569"/>
      <w:r>
        <w:t>Use of HARQ</w:t>
      </w:r>
    </w:p>
    <w:p w14:paraId="2E86C77C" w14:textId="242CFDEE" w:rsidR="0025642B" w:rsidRDefault="0049523D" w:rsidP="00D5483F">
      <w:pPr>
        <w:tabs>
          <w:tab w:val="left" w:pos="1752"/>
        </w:tabs>
        <w:rPr>
          <w:lang w:val="en-GB"/>
        </w:rPr>
      </w:pPr>
      <w:r>
        <w:rPr>
          <w:lang w:val="en-GB"/>
        </w:rPr>
        <w:t xml:space="preserve">In NTN, the round-trip delay can be about 600 </w:t>
      </w:r>
      <w:proofErr w:type="spellStart"/>
      <w:r>
        <w:rPr>
          <w:lang w:val="en-GB"/>
        </w:rPr>
        <w:t>ms</w:t>
      </w:r>
      <w:proofErr w:type="spellEnd"/>
      <w:r>
        <w:rPr>
          <w:lang w:val="en-GB"/>
        </w:rPr>
        <w:t xml:space="preserve"> for GEO satellites to a few tens of millisecond for LEO satellites. For GEO satellites</w:t>
      </w:r>
      <w:r w:rsidR="0025642B">
        <w:rPr>
          <w:lang w:val="en-GB"/>
        </w:rPr>
        <w:t xml:space="preserve"> </w:t>
      </w:r>
      <w:r>
        <w:rPr>
          <w:lang w:val="en-GB"/>
        </w:rPr>
        <w:t>retransmissions may not be preferred due to its very large round-trip delay (RTD)</w:t>
      </w:r>
      <w:r w:rsidR="0025642B">
        <w:rPr>
          <w:lang w:val="en-GB"/>
        </w:rPr>
        <w:t>,</w:t>
      </w:r>
      <w:r>
        <w:rPr>
          <w:lang w:val="en-GB"/>
        </w:rPr>
        <w:t xml:space="preserve"> wh</w:t>
      </w:r>
      <w:r w:rsidR="0025642B">
        <w:rPr>
          <w:lang w:val="en-GB"/>
        </w:rPr>
        <w:t>ereas</w:t>
      </w:r>
      <w:r>
        <w:rPr>
          <w:lang w:val="en-GB"/>
        </w:rPr>
        <w:t xml:space="preserve"> for LEO satellites, </w:t>
      </w:r>
      <w:r w:rsidR="00546144">
        <w:rPr>
          <w:lang w:val="en-GB"/>
        </w:rPr>
        <w:t xml:space="preserve">HARQ can still be used with </w:t>
      </w:r>
      <w:r>
        <w:rPr>
          <w:lang w:val="en-GB"/>
        </w:rPr>
        <w:t>some li</w:t>
      </w:r>
      <w:bookmarkStart w:id="4" w:name="_GoBack"/>
      <w:bookmarkEnd w:id="4"/>
      <w:r>
        <w:rPr>
          <w:lang w:val="en-GB"/>
        </w:rPr>
        <w:t xml:space="preserve">mit on the number of retransmissions to ensure latency within a certain limit.  </w:t>
      </w:r>
      <w:r w:rsidR="0025642B">
        <w:rPr>
          <w:lang w:val="en-GB"/>
        </w:rPr>
        <w:t xml:space="preserve">In addition, </w:t>
      </w:r>
      <w:r w:rsidR="00546144">
        <w:rPr>
          <w:lang w:val="en-GB"/>
        </w:rPr>
        <w:t>the use of HARQ</w:t>
      </w:r>
      <w:r w:rsidR="0025642B">
        <w:rPr>
          <w:lang w:val="en-GB"/>
        </w:rPr>
        <w:t xml:space="preserve"> </w:t>
      </w:r>
      <w:r w:rsidR="00546144">
        <w:rPr>
          <w:lang w:val="en-GB"/>
        </w:rPr>
        <w:t>also</w:t>
      </w:r>
      <w:r w:rsidR="0025642B">
        <w:rPr>
          <w:lang w:val="en-GB"/>
        </w:rPr>
        <w:t xml:space="preserve"> depend</w:t>
      </w:r>
      <w:r w:rsidR="00546144">
        <w:rPr>
          <w:lang w:val="en-GB"/>
        </w:rPr>
        <w:t>s</w:t>
      </w:r>
      <w:r w:rsidR="0025642B">
        <w:rPr>
          <w:lang w:val="en-GB"/>
        </w:rPr>
        <w:t xml:space="preserve"> on the type of services: for LEO satellites, it may be possible to have </w:t>
      </w:r>
      <w:r w:rsidR="00546144">
        <w:rPr>
          <w:lang w:val="en-GB"/>
        </w:rPr>
        <w:t>HARQ</w:t>
      </w:r>
      <w:r w:rsidR="0025642B">
        <w:rPr>
          <w:lang w:val="en-GB"/>
        </w:rPr>
        <w:t xml:space="preserve"> </w:t>
      </w:r>
      <w:r w:rsidR="00546144">
        <w:rPr>
          <w:lang w:val="en-GB"/>
        </w:rPr>
        <w:t>for regular data traffics such as web browsing; it is not sensible to have HARQ for most of the streaming services. From the above, we have the following proposals:</w:t>
      </w:r>
    </w:p>
    <w:p w14:paraId="1E4534CD" w14:textId="6FE3BA06" w:rsidR="00546144" w:rsidRPr="00AA6657" w:rsidRDefault="00546144" w:rsidP="00D5483F">
      <w:pPr>
        <w:tabs>
          <w:tab w:val="left" w:pos="1752"/>
        </w:tabs>
        <w:rPr>
          <w:b/>
          <w:lang w:val="en-GB"/>
        </w:rPr>
      </w:pPr>
      <w:r w:rsidRPr="00AA6657">
        <w:rPr>
          <w:b/>
          <w:lang w:val="en-GB"/>
        </w:rPr>
        <w:t xml:space="preserve">Proposal 1: </w:t>
      </w:r>
      <w:r w:rsidR="00AA6657" w:rsidRPr="00AA6657">
        <w:rPr>
          <w:b/>
          <w:lang w:val="en-GB"/>
        </w:rPr>
        <w:t>For NTN, s</w:t>
      </w:r>
      <w:r w:rsidRPr="00AA6657">
        <w:rPr>
          <w:b/>
          <w:lang w:val="en-GB"/>
        </w:rPr>
        <w:t xml:space="preserve">upport cell-specific configuration of </w:t>
      </w:r>
      <w:r w:rsidR="00F26CD0">
        <w:rPr>
          <w:b/>
          <w:lang w:val="en-GB"/>
        </w:rPr>
        <w:t xml:space="preserve">HARQ </w:t>
      </w:r>
      <w:r w:rsidRPr="00AA6657">
        <w:rPr>
          <w:b/>
          <w:lang w:val="en-GB"/>
        </w:rPr>
        <w:t>on and off.</w:t>
      </w:r>
    </w:p>
    <w:p w14:paraId="0DF0B13B" w14:textId="0E646AD3" w:rsidR="00546144" w:rsidRPr="00AA6657" w:rsidRDefault="00546144" w:rsidP="00D5483F">
      <w:pPr>
        <w:tabs>
          <w:tab w:val="left" w:pos="1752"/>
        </w:tabs>
        <w:rPr>
          <w:b/>
          <w:lang w:val="en-GB"/>
        </w:rPr>
      </w:pPr>
      <w:r w:rsidRPr="00AA6657">
        <w:rPr>
          <w:b/>
          <w:lang w:val="en-GB"/>
        </w:rPr>
        <w:t xml:space="preserve">Proposal 2: </w:t>
      </w:r>
      <w:r w:rsidR="00AA6657" w:rsidRPr="00AA6657">
        <w:rPr>
          <w:b/>
          <w:lang w:val="en-GB"/>
        </w:rPr>
        <w:t>For NTN, s</w:t>
      </w:r>
      <w:r w:rsidRPr="00AA6657">
        <w:rPr>
          <w:b/>
          <w:lang w:val="en-GB"/>
        </w:rPr>
        <w:t xml:space="preserve">upport </w:t>
      </w:r>
      <w:r w:rsidR="00AA6657" w:rsidRPr="00AA6657">
        <w:rPr>
          <w:b/>
          <w:lang w:val="en-GB"/>
        </w:rPr>
        <w:t xml:space="preserve">configuration of </w:t>
      </w:r>
      <w:r w:rsidR="00F26CD0">
        <w:rPr>
          <w:b/>
          <w:lang w:val="en-GB"/>
        </w:rPr>
        <w:t>HARQ</w:t>
      </w:r>
      <w:r w:rsidR="00F26CD0">
        <w:rPr>
          <w:b/>
          <w:lang w:val="en-GB"/>
        </w:rPr>
        <w:t xml:space="preserve"> on and off for </w:t>
      </w:r>
      <w:r w:rsidR="00AA6657" w:rsidRPr="00AA6657">
        <w:rPr>
          <w:b/>
          <w:lang w:val="en-GB"/>
        </w:rPr>
        <w:t>configured grants.</w:t>
      </w:r>
    </w:p>
    <w:p w14:paraId="79618CCB" w14:textId="77777777" w:rsidR="00AA6657" w:rsidRDefault="00AA6657" w:rsidP="00D5483F">
      <w:pPr>
        <w:tabs>
          <w:tab w:val="left" w:pos="1752"/>
        </w:tabs>
        <w:rPr>
          <w:lang w:val="en-GB"/>
        </w:rPr>
      </w:pPr>
      <w:r>
        <w:rPr>
          <w:lang w:val="en-GB"/>
        </w:rPr>
        <w:t>In addition, for LEO and MEO satellites it may be necessary to turn the HARQ on and off dynamically due to UE’s buffer capability or limit of number of HARQ processes being reached.</w:t>
      </w:r>
    </w:p>
    <w:p w14:paraId="6C6B4876" w14:textId="77777777" w:rsidR="00AA6657" w:rsidRPr="00364DA6" w:rsidRDefault="00AA6657" w:rsidP="00D5483F">
      <w:pPr>
        <w:tabs>
          <w:tab w:val="left" w:pos="1752"/>
        </w:tabs>
        <w:rPr>
          <w:b/>
          <w:lang w:val="en-GB"/>
        </w:rPr>
      </w:pPr>
      <w:r w:rsidRPr="00364DA6">
        <w:rPr>
          <w:b/>
          <w:lang w:val="en-GB"/>
        </w:rPr>
        <w:t>Proposal 3: For NTN, support dynamic HARQ on and off.</w:t>
      </w:r>
    </w:p>
    <w:p w14:paraId="24569DB3" w14:textId="77777777" w:rsidR="00364DA6" w:rsidRDefault="00AA6657" w:rsidP="00D5483F">
      <w:pPr>
        <w:tabs>
          <w:tab w:val="left" w:pos="1752"/>
        </w:tabs>
        <w:rPr>
          <w:lang w:val="en-GB"/>
        </w:rPr>
      </w:pPr>
      <w:r>
        <w:rPr>
          <w:lang w:val="en-GB"/>
        </w:rPr>
        <w:t>One easy solution of dynamic HARQ on and off is to reserve one HARQ ID to indicate no HARQ</w:t>
      </w:r>
      <w:r w:rsidR="00364DA6">
        <w:rPr>
          <w:lang w:val="en-GB"/>
        </w:rPr>
        <w:t xml:space="preserve"> for the transmission.</w:t>
      </w:r>
    </w:p>
    <w:p w14:paraId="7366D83D" w14:textId="77777777" w:rsidR="00364DA6" w:rsidRDefault="00364DA6" w:rsidP="00D5483F">
      <w:pPr>
        <w:tabs>
          <w:tab w:val="left" w:pos="1752"/>
        </w:tabs>
        <w:rPr>
          <w:lang w:val="en-GB"/>
        </w:rPr>
      </w:pPr>
    </w:p>
    <w:p w14:paraId="16A7D9BB" w14:textId="77777777" w:rsidR="00364DA6" w:rsidRDefault="00364DA6" w:rsidP="00364DA6">
      <w:pPr>
        <w:pStyle w:val="Heading1"/>
      </w:pPr>
      <w:r>
        <w:lastRenderedPageBreak/>
        <w:t>Number of HARQ Processes</w:t>
      </w:r>
    </w:p>
    <w:p w14:paraId="0D963CA3" w14:textId="748E4498" w:rsidR="00C34B33" w:rsidRDefault="00364DA6" w:rsidP="00D5483F">
      <w:pPr>
        <w:tabs>
          <w:tab w:val="left" w:pos="1752"/>
        </w:tabs>
        <w:rPr>
          <w:lang w:val="en-GB"/>
        </w:rPr>
      </w:pPr>
      <w:r>
        <w:rPr>
          <w:lang w:val="en-GB"/>
        </w:rPr>
        <w:t xml:space="preserve">In order to support high data rates, the number of HARQ processes must be larger than the number of slots in a time duration as long as the RTD. Assuming 32 </w:t>
      </w:r>
      <w:proofErr w:type="spellStart"/>
      <w:r>
        <w:rPr>
          <w:lang w:val="en-GB"/>
        </w:rPr>
        <w:t>ms</w:t>
      </w:r>
      <w:proofErr w:type="spellEnd"/>
      <w:r>
        <w:rPr>
          <w:lang w:val="en-GB"/>
        </w:rPr>
        <w:t xml:space="preserve"> RTD and 120 kHz subcarrier spacing (SCS), the number of HARQ processes needed </w:t>
      </w:r>
      <w:r w:rsidR="00F26CD0">
        <w:rPr>
          <w:lang w:val="en-GB"/>
        </w:rPr>
        <w:t>to</w:t>
      </w:r>
      <w:r>
        <w:rPr>
          <w:lang w:val="en-GB"/>
        </w:rPr>
        <w:t xml:space="preserve"> be 256. This may require a huge buffer at the UE side. As a result, UE capability on the number of HARQ processes needs to be reported.</w:t>
      </w:r>
    </w:p>
    <w:p w14:paraId="2599FD52" w14:textId="0AA8221F" w:rsidR="00364DA6" w:rsidRPr="00364DA6" w:rsidRDefault="00364DA6" w:rsidP="00D5483F">
      <w:pPr>
        <w:tabs>
          <w:tab w:val="left" w:pos="1752"/>
        </w:tabs>
        <w:rPr>
          <w:b/>
          <w:lang w:val="en-GB"/>
        </w:rPr>
      </w:pPr>
      <w:r w:rsidRPr="00364DA6">
        <w:rPr>
          <w:b/>
          <w:lang w:val="en-GB"/>
        </w:rPr>
        <w:t xml:space="preserve">Proposal </w:t>
      </w:r>
      <w:r w:rsidR="00844029">
        <w:rPr>
          <w:b/>
          <w:lang w:val="en-GB"/>
        </w:rPr>
        <w:t>4</w:t>
      </w:r>
      <w:r w:rsidRPr="00364DA6">
        <w:rPr>
          <w:b/>
          <w:lang w:val="en-GB"/>
        </w:rPr>
        <w:t>: For NTN, UE reports the capability on the number of HARQ processes.</w:t>
      </w:r>
    </w:p>
    <w:p w14:paraId="0BE2B8FF" w14:textId="587F5565" w:rsidR="00C34B33" w:rsidRDefault="00C34B33" w:rsidP="00D5483F">
      <w:pPr>
        <w:tabs>
          <w:tab w:val="left" w:pos="1752"/>
        </w:tabs>
        <w:rPr>
          <w:lang w:val="en-GB"/>
        </w:rPr>
      </w:pPr>
      <w:r>
        <w:rPr>
          <w:lang w:val="en-GB"/>
        </w:rPr>
        <w:t xml:space="preserve">Based on UE’s capability, network may configure a smaller number of HARQ processes to be supported by the UE. </w:t>
      </w:r>
      <w:r w:rsidR="00364DA6">
        <w:rPr>
          <w:lang w:val="en-GB"/>
        </w:rPr>
        <w:t xml:space="preserve"> </w:t>
      </w:r>
      <w:r>
        <w:rPr>
          <w:lang w:val="en-GB"/>
        </w:rPr>
        <w:t>The maximal number of HARQ processes configured to a UE can be larger than 16.</w:t>
      </w:r>
    </w:p>
    <w:p w14:paraId="27FBED44" w14:textId="5ED6E306" w:rsidR="00C34B33" w:rsidRPr="00C34B33" w:rsidRDefault="00C34B33" w:rsidP="00D5483F">
      <w:pPr>
        <w:tabs>
          <w:tab w:val="left" w:pos="1752"/>
        </w:tabs>
        <w:rPr>
          <w:b/>
          <w:lang w:val="en-GB"/>
        </w:rPr>
      </w:pPr>
      <w:r w:rsidRPr="00C34B33">
        <w:rPr>
          <w:b/>
          <w:lang w:val="en-GB"/>
        </w:rPr>
        <w:t xml:space="preserve">Proposal </w:t>
      </w:r>
      <w:r w:rsidR="00844029">
        <w:rPr>
          <w:b/>
          <w:lang w:val="en-GB"/>
        </w:rPr>
        <w:t>5</w:t>
      </w:r>
      <w:r w:rsidRPr="00C34B33">
        <w:rPr>
          <w:b/>
          <w:lang w:val="en-GB"/>
        </w:rPr>
        <w:t>: For NTN, more than 16 HARQ processes can be configured.</w:t>
      </w:r>
    </w:p>
    <w:p w14:paraId="3CA979FE" w14:textId="77777777" w:rsidR="00ED2D2B" w:rsidRDefault="00C34B33" w:rsidP="00D5483F">
      <w:pPr>
        <w:tabs>
          <w:tab w:val="left" w:pos="1752"/>
        </w:tabs>
        <w:rPr>
          <w:lang w:val="en-GB"/>
        </w:rPr>
      </w:pPr>
      <w:r>
        <w:rPr>
          <w:lang w:val="en-GB"/>
        </w:rPr>
        <w:t xml:space="preserve">It is not desirable to further increase the number of HARQ bits in DCI. </w:t>
      </w:r>
      <w:r w:rsidR="006B7D27">
        <w:rPr>
          <w:lang w:val="en-GB"/>
        </w:rPr>
        <w:t xml:space="preserve">This can be supported by SFN dependent HARQ ID, that is the actual HARQ ID is a function of the slot number and the ID filed in DCI. For instance, 32 HARQ processes can be supported with the first 16 slots limited for HARQ processes 0 to 15 and the second 16 slots for HARQ processes 16 to 31. </w:t>
      </w:r>
    </w:p>
    <w:p w14:paraId="2D38EAA9" w14:textId="73E40096" w:rsidR="00C34B33" w:rsidRPr="00ED2D2B" w:rsidRDefault="00ED2D2B" w:rsidP="00D5483F">
      <w:pPr>
        <w:tabs>
          <w:tab w:val="left" w:pos="1752"/>
        </w:tabs>
        <w:rPr>
          <w:b/>
          <w:lang w:val="en-GB"/>
        </w:rPr>
      </w:pPr>
      <w:r w:rsidRPr="00ED2D2B">
        <w:rPr>
          <w:b/>
          <w:lang w:val="en-GB"/>
        </w:rPr>
        <w:t xml:space="preserve">Proposal </w:t>
      </w:r>
      <w:r w:rsidR="00844029">
        <w:rPr>
          <w:b/>
          <w:lang w:val="en-GB"/>
        </w:rPr>
        <w:t>6</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Pr="00ED2D2B">
        <w:rPr>
          <w:b/>
          <w:lang w:val="en-GB"/>
        </w:rPr>
        <w:t>.</w:t>
      </w:r>
      <w:r w:rsidR="006B7D27" w:rsidRPr="00ED2D2B">
        <w:rPr>
          <w:b/>
          <w:lang w:val="en-GB"/>
        </w:rPr>
        <w:t xml:space="preserve"> </w:t>
      </w:r>
    </w:p>
    <w:p w14:paraId="013FE69F" w14:textId="3AD59B4B" w:rsidR="00B31ECE" w:rsidRDefault="00ED2D2B" w:rsidP="00B31ECE">
      <w:pPr>
        <w:pStyle w:val="Heading1"/>
      </w:pPr>
      <w:r>
        <w:t xml:space="preserve">CQI </w:t>
      </w:r>
    </w:p>
    <w:p w14:paraId="2FB362F0" w14:textId="65DBAFA5" w:rsidR="00ED2D2B" w:rsidRDefault="00ED2D2B" w:rsidP="00ED2D2B">
      <w:pPr>
        <w:rPr>
          <w:lang w:val="en-GB"/>
        </w:rPr>
      </w:pPr>
      <w:r>
        <w:rPr>
          <w:lang w:val="en-GB"/>
        </w:rPr>
        <w:t xml:space="preserve">To support flexible HARQ on and off and limited number of retransmissions, enhancements on CQI are needed. Details of CQI enhancements are discussed in a companion paper [2]. </w:t>
      </w:r>
    </w:p>
    <w:p w14:paraId="37EE4640" w14:textId="783DC6F4" w:rsidR="00935B26" w:rsidRDefault="00935B26" w:rsidP="00ED2D2B">
      <w:pPr>
        <w:rPr>
          <w:lang w:val="en-GB"/>
        </w:rPr>
      </w:pPr>
    </w:p>
    <w:p w14:paraId="750680DD" w14:textId="63CF3F80" w:rsidR="00935B26" w:rsidRDefault="00935B26" w:rsidP="00935B26">
      <w:pPr>
        <w:pStyle w:val="Heading1"/>
      </w:pPr>
      <w:r>
        <w:t>Conclusions</w:t>
      </w:r>
    </w:p>
    <w:p w14:paraId="20C3FD2D" w14:textId="27A89421" w:rsidR="00935B26" w:rsidRDefault="00935B26" w:rsidP="00935B26">
      <w:pPr>
        <w:rPr>
          <w:lang w:val="en-GB"/>
        </w:rPr>
      </w:pPr>
      <w:r>
        <w:rPr>
          <w:lang w:val="en-GB"/>
        </w:rPr>
        <w:t>In this contribution, we have discussed</w:t>
      </w:r>
      <w:r w:rsidR="00844029">
        <w:rPr>
          <w:lang w:val="en-GB"/>
        </w:rPr>
        <w:t xml:space="preserve"> </w:t>
      </w:r>
      <w:r>
        <w:rPr>
          <w:lang w:val="en-GB"/>
        </w:rPr>
        <w:t xml:space="preserve">enhancements on HARQ </w:t>
      </w:r>
      <w:r w:rsidR="00844029">
        <w:rPr>
          <w:lang w:val="en-GB"/>
        </w:rPr>
        <w:t>for large delays in NTN and have the following proposals:</w:t>
      </w:r>
    </w:p>
    <w:p w14:paraId="6AAF2F7F" w14:textId="7AAF8612" w:rsidR="00844029" w:rsidRPr="00844029" w:rsidRDefault="00844029" w:rsidP="00844029">
      <w:pPr>
        <w:tabs>
          <w:tab w:val="left" w:pos="1752"/>
        </w:tabs>
        <w:rPr>
          <w:b/>
          <w:i/>
          <w:lang w:val="en-GB"/>
        </w:rPr>
      </w:pPr>
      <w:r w:rsidRPr="00844029">
        <w:rPr>
          <w:b/>
          <w:i/>
          <w:lang w:val="en-GB"/>
        </w:rPr>
        <w:t xml:space="preserve">Proposal 1: For NTN, support cell-specific configuration of </w:t>
      </w:r>
      <w:r w:rsidR="00F26CD0">
        <w:rPr>
          <w:b/>
          <w:i/>
          <w:lang w:val="en-GB"/>
        </w:rPr>
        <w:t xml:space="preserve">HARQ </w:t>
      </w:r>
      <w:r w:rsidRPr="00844029">
        <w:rPr>
          <w:b/>
          <w:i/>
          <w:lang w:val="en-GB"/>
        </w:rPr>
        <w:t>on and off.</w:t>
      </w:r>
    </w:p>
    <w:p w14:paraId="5DBDFBF1" w14:textId="77777777" w:rsidR="00844029" w:rsidRPr="00844029" w:rsidRDefault="00844029" w:rsidP="00844029">
      <w:pPr>
        <w:tabs>
          <w:tab w:val="left" w:pos="1752"/>
        </w:tabs>
        <w:rPr>
          <w:b/>
          <w:i/>
          <w:lang w:val="en-GB"/>
        </w:rPr>
      </w:pPr>
      <w:r w:rsidRPr="00844029">
        <w:rPr>
          <w:b/>
          <w:i/>
          <w:lang w:val="en-GB"/>
        </w:rPr>
        <w:t>Proposal 2: For NTN, support configuration of HARQ on and off for configured grants.</w:t>
      </w:r>
    </w:p>
    <w:p w14:paraId="65F0EEFE" w14:textId="77777777" w:rsidR="00844029" w:rsidRPr="00844029" w:rsidRDefault="00844029" w:rsidP="00844029">
      <w:pPr>
        <w:tabs>
          <w:tab w:val="left" w:pos="1752"/>
        </w:tabs>
        <w:rPr>
          <w:b/>
          <w:i/>
          <w:lang w:val="en-GB"/>
        </w:rPr>
      </w:pPr>
      <w:r w:rsidRPr="00844029">
        <w:rPr>
          <w:b/>
          <w:i/>
          <w:lang w:val="en-GB"/>
        </w:rPr>
        <w:t>Proposal 3: For NTN, support dynamic HARQ on and off.</w:t>
      </w:r>
    </w:p>
    <w:p w14:paraId="108EBDED" w14:textId="77777777" w:rsidR="00844029" w:rsidRPr="00844029" w:rsidRDefault="00844029" w:rsidP="00844029">
      <w:pPr>
        <w:tabs>
          <w:tab w:val="left" w:pos="1752"/>
        </w:tabs>
        <w:rPr>
          <w:b/>
          <w:i/>
          <w:lang w:val="en-GB"/>
        </w:rPr>
      </w:pPr>
      <w:r w:rsidRPr="00844029">
        <w:rPr>
          <w:b/>
          <w:i/>
          <w:lang w:val="en-GB"/>
        </w:rPr>
        <w:t>Proposal 4: For NTN, UE reports the capability on the number of HARQ processes.</w:t>
      </w:r>
    </w:p>
    <w:p w14:paraId="0A9CBFDC" w14:textId="77777777" w:rsidR="00844029" w:rsidRPr="00844029" w:rsidRDefault="00844029" w:rsidP="00844029">
      <w:pPr>
        <w:tabs>
          <w:tab w:val="left" w:pos="1752"/>
        </w:tabs>
        <w:rPr>
          <w:b/>
          <w:i/>
          <w:lang w:val="en-GB"/>
        </w:rPr>
      </w:pPr>
      <w:r w:rsidRPr="00844029">
        <w:rPr>
          <w:b/>
          <w:i/>
          <w:lang w:val="en-GB"/>
        </w:rPr>
        <w:t>Proposal 5: For NTN, more than 16 HARQ processes can be configured.</w:t>
      </w:r>
    </w:p>
    <w:p w14:paraId="51668E03" w14:textId="77777777" w:rsidR="00844029" w:rsidRPr="00844029" w:rsidRDefault="00844029" w:rsidP="00844029">
      <w:pPr>
        <w:tabs>
          <w:tab w:val="left" w:pos="1752"/>
        </w:tabs>
        <w:rPr>
          <w:b/>
          <w:i/>
          <w:lang w:val="en-GB"/>
        </w:rPr>
      </w:pPr>
      <w:r w:rsidRPr="00844029">
        <w:rPr>
          <w:b/>
          <w:i/>
          <w:lang w:val="en-GB"/>
        </w:rPr>
        <w:t xml:space="preserve">Proposal 6: For NTN, support slot number based HARQ process identification. </w:t>
      </w:r>
    </w:p>
    <w:p w14:paraId="763BC511" w14:textId="77777777" w:rsidR="00844029" w:rsidRPr="00935B26" w:rsidRDefault="00844029" w:rsidP="00935B26">
      <w:pPr>
        <w:rPr>
          <w:lang w:val="en-GB"/>
        </w:rPr>
      </w:pPr>
    </w:p>
    <w:bookmarkEnd w:id="2"/>
    <w:bookmarkEnd w:id="3"/>
    <w:p w14:paraId="64099BEB" w14:textId="69A78F6C" w:rsidR="002F77EB" w:rsidRPr="00935B26" w:rsidRDefault="00E523F3" w:rsidP="00935B26">
      <w:pPr>
        <w:pStyle w:val="Heading1"/>
      </w:pPr>
      <w:r w:rsidRPr="00935B26">
        <w:t>References</w:t>
      </w:r>
      <w:bookmarkStart w:id="5" w:name="_Ref457730460"/>
      <w:bookmarkStart w:id="6" w:name="_Ref450735844"/>
      <w:bookmarkStart w:id="7" w:name="_Ref450342757"/>
      <w:r w:rsidR="002F77EB" w:rsidRPr="00935B26">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0DDC56CC"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w:t>
      </w:r>
      <w:r w:rsidR="00ED2D2B">
        <w:rPr>
          <w:rFonts w:ascii="Times New Roman" w:hAnsi="Times New Roman"/>
          <w:bCs/>
          <w:sz w:val="20"/>
          <w:szCs w:val="20"/>
        </w:rPr>
        <w:t>9</w:t>
      </w:r>
      <w:r w:rsidR="00F26CD0">
        <w:rPr>
          <w:rFonts w:ascii="Times New Roman" w:hAnsi="Times New Roman"/>
          <w:bCs/>
          <w:sz w:val="20"/>
          <w:szCs w:val="20"/>
        </w:rPr>
        <w:t>05015</w:t>
      </w:r>
      <w:r>
        <w:rPr>
          <w:rFonts w:ascii="Times New Roman" w:eastAsia="MS Mincho" w:hAnsi="Times New Roman"/>
          <w:bCs/>
          <w:sz w:val="20"/>
          <w:szCs w:val="20"/>
          <w:lang w:eastAsia="ja-JP"/>
        </w:rPr>
        <w:t xml:space="preserve">, </w:t>
      </w:r>
      <w:r w:rsidR="00ED2D2B">
        <w:rPr>
          <w:rFonts w:ascii="Times New Roman" w:eastAsia="MS Mincho" w:hAnsi="Times New Roman"/>
          <w:bCs/>
          <w:sz w:val="20"/>
          <w:szCs w:val="20"/>
          <w:lang w:eastAsia="ja-JP"/>
        </w:rPr>
        <w:t>Physical layer procedures for NTN</w:t>
      </w:r>
      <w:r>
        <w:rPr>
          <w:rFonts w:ascii="Times New Roman" w:eastAsia="MS Mincho" w:hAnsi="Times New Roman"/>
          <w:bCs/>
          <w:sz w:val="20"/>
          <w:szCs w:val="20"/>
          <w:lang w:eastAsia="ja-JP"/>
        </w:rPr>
        <w:t>, Qualcomm Technologies Inc., 3GPP RAN1 #9</w:t>
      </w:r>
      <w:r w:rsidR="00ED2D2B">
        <w:rPr>
          <w:rFonts w:ascii="Times New Roman" w:eastAsia="MS Mincho" w:hAnsi="Times New Roman"/>
          <w:bCs/>
          <w:sz w:val="20"/>
          <w:szCs w:val="20"/>
          <w:lang w:eastAsia="ja-JP"/>
        </w:rPr>
        <w:t>6</w:t>
      </w:r>
      <w:r>
        <w:rPr>
          <w:rFonts w:ascii="Times New Roman" w:eastAsia="MS Mincho" w:hAnsi="Times New Roman"/>
          <w:bCs/>
          <w:sz w:val="20"/>
          <w:szCs w:val="20"/>
          <w:lang w:eastAsia="ja-JP"/>
        </w:rPr>
        <w:t xml:space="preserve">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w:t>
      </w:r>
      <w:r w:rsidR="00ED2D2B">
        <w:rPr>
          <w:rFonts w:ascii="Times New Roman" w:eastAsia="MS Mincho" w:hAnsi="Times New Roman"/>
          <w:bCs/>
          <w:sz w:val="20"/>
          <w:szCs w:val="20"/>
          <w:lang w:eastAsia="ja-JP"/>
        </w:rPr>
        <w:t>9</w:t>
      </w:r>
      <w:r>
        <w:rPr>
          <w:rFonts w:ascii="Times New Roman" w:eastAsia="MS Mincho" w:hAnsi="Times New Roman"/>
          <w:bCs/>
          <w:sz w:val="20"/>
          <w:szCs w:val="20"/>
          <w:lang w:eastAsia="ja-JP"/>
        </w:rPr>
        <w:t>.</w:t>
      </w:r>
      <w:bookmarkEnd w:id="5"/>
      <w:bookmarkEnd w:id="6"/>
      <w:bookmarkEnd w:id="7"/>
      <w:bookmarkEnd w:id="8"/>
    </w:p>
    <w:sectPr w:rsidR="00CE53DF" w:rsidRPr="00150F7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09F2C" w14:textId="77777777" w:rsidR="00022111" w:rsidRDefault="00022111">
      <w:r>
        <w:separator/>
      </w:r>
    </w:p>
  </w:endnote>
  <w:endnote w:type="continuationSeparator" w:id="0">
    <w:p w14:paraId="7B8FD5DF" w14:textId="77777777" w:rsidR="00022111" w:rsidRDefault="00022111">
      <w:r>
        <w:continuationSeparator/>
      </w:r>
    </w:p>
  </w:endnote>
  <w:endnote w:type="continuationNotice" w:id="1">
    <w:p w14:paraId="7F9B595C" w14:textId="77777777" w:rsidR="00022111" w:rsidRDefault="00022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92BD6" w14:textId="77777777" w:rsidR="00022111" w:rsidRDefault="00022111">
      <w:r>
        <w:separator/>
      </w:r>
    </w:p>
  </w:footnote>
  <w:footnote w:type="continuationSeparator" w:id="0">
    <w:p w14:paraId="1783CD70" w14:textId="77777777" w:rsidR="00022111" w:rsidRDefault="00022111">
      <w:r>
        <w:continuationSeparator/>
      </w:r>
    </w:p>
  </w:footnote>
  <w:footnote w:type="continuationNotice" w:id="1">
    <w:p w14:paraId="0E732D82" w14:textId="77777777" w:rsidR="00022111" w:rsidRDefault="00022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11"/>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298"/>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42B"/>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3B76"/>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0DB"/>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4DA6"/>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523D"/>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144"/>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B7D27"/>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029"/>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26"/>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A40"/>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D7E"/>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657"/>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33"/>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4D2"/>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D2B"/>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6CD0"/>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4F91"/>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869BF-81B5-4A0B-9C46-31085E65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Use of HARQ</vt:lpstr>
      <vt:lpstr>Number of HARQ Processes</vt:lpstr>
      <vt:lpstr>CQI </vt:lpstr>
      <vt:lpstr>Conclusions</vt:lpstr>
      <vt:lpstr>References	</vt:lpstr>
    </vt:vector>
  </TitlesOfParts>
  <Company>Qualcomm Inc.</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2019-03-29T21:09:00Z</dcterms:created>
  <dcterms:modified xsi:type="dcterms:W3CDTF">2019-03-29T21:09:00Z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